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3F70" w14:textId="047CD222" w:rsidR="007E0E72" w:rsidRPr="001F6A13" w:rsidRDefault="00BA55ED" w:rsidP="00BA55ED">
      <w:pPr>
        <w:jc w:val="center"/>
        <w:rPr>
          <w:rFonts w:ascii="Times New Roman" w:hAnsi="Times New Roman"/>
          <w:b/>
          <w:sz w:val="28"/>
          <w:szCs w:val="28"/>
          <w:u w:val="single"/>
        </w:rPr>
        <w:sectPr w:rsidR="007E0E72" w:rsidRPr="001F6A13" w:rsidSect="007E0E72">
          <w:headerReference w:type="default" r:id="rId8"/>
          <w:footerReference w:type="default" r:id="rId9"/>
          <w:endnotePr>
            <w:numFmt w:val="decimal"/>
          </w:endnotePr>
          <w:type w:val="continuous"/>
          <w:pgSz w:w="11910" w:h="16840" w:code="9"/>
          <w:pgMar w:top="1440" w:right="1440" w:bottom="1440" w:left="1440" w:header="720" w:footer="720" w:gutter="0"/>
          <w:cols w:space="720"/>
          <w:docGrid w:linePitch="299"/>
        </w:sectPr>
      </w:pPr>
      <w:r w:rsidRPr="001F6A13">
        <w:rPr>
          <w:rFonts w:ascii="Times New Roman" w:hAnsi="Times New Roman"/>
          <w:b/>
          <w:sz w:val="28"/>
          <w:szCs w:val="28"/>
          <w:u w:val="single"/>
        </w:rPr>
        <w:t>BUSINESS IMPACT ESTIMATE</w:t>
      </w:r>
      <w:r w:rsidR="0027518F" w:rsidRPr="001F6A13">
        <w:rPr>
          <w:rFonts w:ascii="Times New Roman" w:hAnsi="Times New Roman"/>
          <w:b/>
          <w:sz w:val="28"/>
          <w:szCs w:val="28"/>
        </w:rPr>
        <w:t xml:space="preserve"> </w:t>
      </w:r>
      <w:r w:rsidR="002E01AC" w:rsidRPr="001F6A13">
        <w:rPr>
          <w:rStyle w:val="FootnoteReference"/>
          <w:rFonts w:ascii="Times New Roman" w:hAnsi="Times New Roman"/>
          <w:b/>
          <w:sz w:val="28"/>
          <w:szCs w:val="28"/>
          <w:u w:val="single"/>
        </w:rPr>
        <w:footnoteReference w:id="2"/>
      </w:r>
    </w:p>
    <w:p w14:paraId="3C76DCDA" w14:textId="3796D5D4" w:rsidR="00BA55ED" w:rsidRPr="001F6A13" w:rsidRDefault="00BA55ED" w:rsidP="00BA55ED">
      <w:pPr>
        <w:rPr>
          <w:rFonts w:ascii="Times New Roman" w:hAnsi="Times New Roman"/>
          <w:sz w:val="18"/>
          <w:szCs w:val="18"/>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994"/>
        <w:gridCol w:w="2995"/>
        <w:gridCol w:w="2995"/>
      </w:tblGrid>
      <w:tr w:rsidR="00B15768" w:rsidRPr="001F6A13" w14:paraId="27BF30E2" w14:textId="77777777" w:rsidTr="00B15768">
        <w:trPr>
          <w:trHeight w:val="504"/>
        </w:trPr>
        <w:tc>
          <w:tcPr>
            <w:tcW w:w="2994" w:type="dxa"/>
          </w:tcPr>
          <w:p w14:paraId="041C19D2" w14:textId="77777777" w:rsidR="00E7617A" w:rsidRDefault="00B15768" w:rsidP="00BA55ED">
            <w:pPr>
              <w:rPr>
                <w:rFonts w:ascii="Times New Roman" w:hAnsi="Times New Roman"/>
                <w:bCs/>
                <w:sz w:val="18"/>
                <w:szCs w:val="18"/>
              </w:rPr>
            </w:pPr>
            <w:r w:rsidRPr="001F6A13">
              <w:rPr>
                <w:rFonts w:ascii="Times New Roman" w:hAnsi="Times New Roman"/>
                <w:b/>
                <w:sz w:val="18"/>
                <w:szCs w:val="18"/>
                <w:u w:val="single"/>
              </w:rPr>
              <w:t>Meeting Date</w:t>
            </w:r>
            <w:r w:rsidRPr="001F6A13">
              <w:rPr>
                <w:rFonts w:ascii="Times New Roman" w:hAnsi="Times New Roman"/>
                <w:bCs/>
                <w:sz w:val="18"/>
                <w:szCs w:val="18"/>
              </w:rPr>
              <w:t xml:space="preserve">: </w:t>
            </w:r>
          </w:p>
          <w:p w14:paraId="25874E9F" w14:textId="086515F0" w:rsidR="00B15768" w:rsidRDefault="00E7617A" w:rsidP="00BA55ED">
            <w:pPr>
              <w:rPr>
                <w:rFonts w:ascii="Times New Roman" w:hAnsi="Times New Roman"/>
                <w:bCs/>
                <w:sz w:val="18"/>
                <w:szCs w:val="18"/>
              </w:rPr>
            </w:pPr>
            <w:r>
              <w:rPr>
                <w:rFonts w:ascii="Times New Roman" w:hAnsi="Times New Roman"/>
                <w:bCs/>
                <w:sz w:val="18"/>
                <w:szCs w:val="18"/>
              </w:rPr>
              <w:t xml:space="preserve">First Reading: </w:t>
            </w:r>
            <w:r w:rsidR="003145EE">
              <w:rPr>
                <w:rFonts w:ascii="Times New Roman" w:hAnsi="Times New Roman"/>
                <w:bCs/>
                <w:sz w:val="18"/>
                <w:szCs w:val="18"/>
              </w:rPr>
              <w:t>12/10/25</w:t>
            </w:r>
          </w:p>
          <w:p w14:paraId="0E7F9D40" w14:textId="7003C8C3" w:rsidR="00E7617A" w:rsidRDefault="00E7617A" w:rsidP="00BA55ED">
            <w:pPr>
              <w:rPr>
                <w:rFonts w:ascii="Times New Roman" w:hAnsi="Times New Roman"/>
                <w:bCs/>
                <w:sz w:val="18"/>
                <w:szCs w:val="18"/>
              </w:rPr>
            </w:pPr>
            <w:r>
              <w:rPr>
                <w:rFonts w:ascii="Times New Roman" w:hAnsi="Times New Roman"/>
                <w:bCs/>
                <w:sz w:val="18"/>
                <w:szCs w:val="18"/>
              </w:rPr>
              <w:t>Second Reading: 3/</w:t>
            </w:r>
            <w:r w:rsidR="003145EE">
              <w:rPr>
                <w:rFonts w:ascii="Times New Roman" w:hAnsi="Times New Roman"/>
                <w:bCs/>
                <w:sz w:val="18"/>
                <w:szCs w:val="18"/>
              </w:rPr>
              <w:t>31</w:t>
            </w:r>
            <w:r>
              <w:rPr>
                <w:rFonts w:ascii="Times New Roman" w:hAnsi="Times New Roman"/>
                <w:bCs/>
                <w:sz w:val="18"/>
                <w:szCs w:val="18"/>
              </w:rPr>
              <w:t>/2025</w:t>
            </w:r>
          </w:p>
          <w:p w14:paraId="77F733B3" w14:textId="570A68A7" w:rsidR="004F48C2" w:rsidRPr="001F6A13" w:rsidRDefault="004F48C2" w:rsidP="00BA55ED">
            <w:pPr>
              <w:rPr>
                <w:rFonts w:ascii="Times New Roman" w:hAnsi="Times New Roman"/>
                <w:bCs/>
                <w:sz w:val="18"/>
                <w:szCs w:val="18"/>
              </w:rPr>
            </w:pPr>
          </w:p>
        </w:tc>
        <w:tc>
          <w:tcPr>
            <w:tcW w:w="2995" w:type="dxa"/>
          </w:tcPr>
          <w:p w14:paraId="61875E20" w14:textId="23C73EFB" w:rsidR="00B15768" w:rsidRPr="001F6A13" w:rsidRDefault="00B15768" w:rsidP="00BA55ED">
            <w:pPr>
              <w:rPr>
                <w:rFonts w:ascii="Times New Roman" w:hAnsi="Times New Roman"/>
                <w:b/>
                <w:sz w:val="18"/>
                <w:szCs w:val="18"/>
                <w:u w:val="single"/>
              </w:rPr>
            </w:pPr>
            <w:r w:rsidRPr="001F6A13">
              <w:rPr>
                <w:rFonts w:ascii="Times New Roman" w:hAnsi="Times New Roman"/>
                <w:b/>
                <w:sz w:val="18"/>
                <w:szCs w:val="18"/>
                <w:u w:val="single"/>
              </w:rPr>
              <w:t>Date Posted</w:t>
            </w:r>
            <w:r w:rsidRPr="001F6A13">
              <w:rPr>
                <w:rFonts w:ascii="Times New Roman" w:hAnsi="Times New Roman"/>
                <w:bCs/>
                <w:sz w:val="18"/>
                <w:szCs w:val="18"/>
              </w:rPr>
              <w:t>:</w:t>
            </w:r>
            <w:r w:rsidR="00E7617A">
              <w:rPr>
                <w:rFonts w:ascii="Times New Roman" w:hAnsi="Times New Roman"/>
                <w:bCs/>
                <w:sz w:val="18"/>
                <w:szCs w:val="18"/>
              </w:rPr>
              <w:t xml:space="preserve"> </w:t>
            </w:r>
            <w:r w:rsidR="003145EE">
              <w:rPr>
                <w:rFonts w:ascii="Times New Roman" w:hAnsi="Times New Roman"/>
                <w:bCs/>
                <w:sz w:val="18"/>
                <w:szCs w:val="18"/>
              </w:rPr>
              <w:t>3/21/25</w:t>
            </w:r>
          </w:p>
        </w:tc>
        <w:tc>
          <w:tcPr>
            <w:tcW w:w="2995" w:type="dxa"/>
          </w:tcPr>
          <w:p w14:paraId="3C49218F" w14:textId="5C994ED4" w:rsidR="003145EE" w:rsidRPr="003145EE" w:rsidRDefault="00B15768" w:rsidP="00BA55ED">
            <w:pPr>
              <w:rPr>
                <w:rFonts w:ascii="Times New Roman" w:hAnsi="Times New Roman"/>
                <w:b/>
                <w:sz w:val="18"/>
                <w:szCs w:val="18"/>
                <w:u w:val="single"/>
              </w:rPr>
            </w:pPr>
            <w:r w:rsidRPr="001F6A13">
              <w:rPr>
                <w:rFonts w:ascii="Times New Roman" w:hAnsi="Times New Roman"/>
                <w:b/>
                <w:sz w:val="18"/>
                <w:szCs w:val="18"/>
                <w:u w:val="single"/>
              </w:rPr>
              <w:t>Agenda Item Number</w:t>
            </w:r>
            <w:r w:rsidRPr="001F6A13">
              <w:rPr>
                <w:rFonts w:ascii="Times New Roman" w:hAnsi="Times New Roman"/>
                <w:bCs/>
                <w:sz w:val="18"/>
                <w:szCs w:val="18"/>
              </w:rPr>
              <w:t>:</w:t>
            </w:r>
            <w:r w:rsidRPr="001F6A13">
              <w:rPr>
                <w:rFonts w:ascii="Times New Roman" w:hAnsi="Times New Roman"/>
                <w:b/>
                <w:sz w:val="18"/>
                <w:szCs w:val="18"/>
                <w:u w:val="single"/>
              </w:rPr>
              <w:t xml:space="preserve"> </w:t>
            </w:r>
          </w:p>
          <w:p w14:paraId="16E34448" w14:textId="628341EC" w:rsidR="003145EE" w:rsidRPr="003145EE" w:rsidRDefault="003145EE" w:rsidP="00BA55ED">
            <w:pPr>
              <w:rPr>
                <w:rFonts w:ascii="Times New Roman" w:hAnsi="Times New Roman"/>
                <w:bCs/>
                <w:sz w:val="18"/>
                <w:szCs w:val="18"/>
              </w:rPr>
            </w:pPr>
            <w:r w:rsidRPr="003145EE">
              <w:rPr>
                <w:rFonts w:ascii="Times New Roman" w:hAnsi="Times New Roman"/>
                <w:bCs/>
                <w:sz w:val="18"/>
                <w:szCs w:val="18"/>
              </w:rPr>
              <w:t xml:space="preserve">Second Reading: </w:t>
            </w:r>
            <w:proofErr w:type="spellStart"/>
            <w:r w:rsidR="007A07BC">
              <w:rPr>
                <w:rFonts w:ascii="Times New Roman" w:hAnsi="Times New Roman"/>
                <w:bCs/>
                <w:sz w:val="18"/>
                <w:szCs w:val="18"/>
              </w:rPr>
              <w:t>E</w:t>
            </w:r>
            <w:r w:rsidR="00A95B63">
              <w:rPr>
                <w:rFonts w:ascii="Times New Roman" w:hAnsi="Times New Roman"/>
                <w:bCs/>
                <w:sz w:val="18"/>
                <w:szCs w:val="18"/>
              </w:rPr>
              <w:t>.</w:t>
            </w:r>
            <w:r w:rsidR="007A07BC">
              <w:rPr>
                <w:rFonts w:ascii="Times New Roman" w:hAnsi="Times New Roman"/>
                <w:bCs/>
                <w:sz w:val="18"/>
                <w:szCs w:val="18"/>
              </w:rPr>
              <w:t>2</w:t>
            </w:r>
            <w:proofErr w:type="spellEnd"/>
            <w:r w:rsidR="00A95B63">
              <w:rPr>
                <w:rFonts w:ascii="Times New Roman" w:hAnsi="Times New Roman"/>
                <w:bCs/>
                <w:sz w:val="18"/>
                <w:szCs w:val="18"/>
              </w:rPr>
              <w:t>.</w:t>
            </w:r>
          </w:p>
        </w:tc>
      </w:tr>
      <w:tr w:rsidR="00E637B1" w:rsidRPr="001F6A13" w14:paraId="41A5CF44" w14:textId="77777777" w:rsidTr="00E637B1">
        <w:trPr>
          <w:trHeight w:val="2187"/>
        </w:trPr>
        <w:tc>
          <w:tcPr>
            <w:tcW w:w="8984" w:type="dxa"/>
            <w:gridSpan w:val="3"/>
          </w:tcPr>
          <w:p w14:paraId="4B3EF8CF" w14:textId="77777777" w:rsidR="00E637B1" w:rsidRPr="001F6A13" w:rsidRDefault="00E637B1" w:rsidP="00BA55ED">
            <w:pPr>
              <w:rPr>
                <w:rFonts w:ascii="Times New Roman" w:hAnsi="Times New Roman"/>
                <w:b/>
                <w:sz w:val="18"/>
                <w:szCs w:val="18"/>
                <w:u w:val="single"/>
              </w:rPr>
            </w:pPr>
            <w:r w:rsidRPr="001F6A13">
              <w:rPr>
                <w:rFonts w:ascii="Times New Roman" w:hAnsi="Times New Roman"/>
                <w:b/>
                <w:sz w:val="18"/>
                <w:szCs w:val="18"/>
                <w:u w:val="single"/>
              </w:rPr>
              <w:t>Title of Proposed Ordinance</w:t>
            </w:r>
            <w:r w:rsidRPr="001F6A13">
              <w:rPr>
                <w:rFonts w:ascii="Times New Roman" w:hAnsi="Times New Roman"/>
                <w:b/>
                <w:sz w:val="18"/>
                <w:szCs w:val="18"/>
              </w:rPr>
              <w:t>:</w:t>
            </w:r>
          </w:p>
          <w:p w14:paraId="5980EA35" w14:textId="21ADD3EC" w:rsidR="00E637B1" w:rsidRPr="001F6A13" w:rsidRDefault="007A07BC" w:rsidP="00E637B1">
            <w:pPr>
              <w:jc w:val="both"/>
              <w:rPr>
                <w:rFonts w:ascii="Times New Roman" w:hAnsi="Times New Roman"/>
                <w:bCs/>
                <w:sz w:val="18"/>
                <w:szCs w:val="18"/>
              </w:rPr>
            </w:pPr>
            <w:r w:rsidRPr="007A07BC">
              <w:rPr>
                <w:rFonts w:ascii="Times New Roman" w:hAnsi="Times New Roman"/>
                <w:bCs/>
                <w:sz w:val="18"/>
                <w:szCs w:val="18"/>
              </w:rPr>
              <w:t>AN ORDINANCE OF THE MAYOR AND CITY COMMISSION OF THE CITY OF SOUTH MIAMI, FLORIDA, AMENDING THE FUTURE LAND USE MAP OF THE FUTURE LAND USE ELEMENT OF THE CITY OF SOUTH MIAMI COMPREHENSIVE PLAN TO CHANGE THE FUTURE LAND USE DESIGNATION OF PARCELS CURRENTLY DESIGNATED “MIXED-USE COMMERCIAL-RESIDENTIAL”, “RESIDENTIAL / LIMITED COMMERCIAL”, “BUSINESS OFFICE”, “PARKS AND OPEN SPACE”, “MULTI-FAMILY RESIDENTIAL”, “TOWNHOUSE RESIDENTIAL”, “SINGLE FAMILY RESIDENTIAL”, “HOSPITAL”, AND “PUBLIC INSTITUTIONAL” TO THE “TRANSIT-SUPPORTIVE DEVELOPMENT” DESIGNATION; PROVIDING FOR TRANSMITTAL; CORRECTIONS; SEVERABILITY; CONFLICTS; IMPLEMENTATION; AND AN EFFECTIVE DATE.</w:t>
            </w:r>
          </w:p>
        </w:tc>
      </w:tr>
      <w:tr w:rsidR="00B15768" w:rsidRPr="001F6A13" w14:paraId="568A79BA" w14:textId="77777777" w:rsidTr="00E637B1">
        <w:trPr>
          <w:trHeight w:val="1515"/>
        </w:trPr>
        <w:tc>
          <w:tcPr>
            <w:tcW w:w="8984" w:type="dxa"/>
            <w:gridSpan w:val="3"/>
          </w:tcPr>
          <w:p w14:paraId="41584761" w14:textId="77777777" w:rsidR="00C42E25" w:rsidRPr="001F6A13" w:rsidRDefault="00C42E25" w:rsidP="00C42E25">
            <w:pPr>
              <w:rPr>
                <w:rFonts w:ascii="Times New Roman" w:hAnsi="Times New Roman"/>
                <w:b/>
                <w:sz w:val="18"/>
                <w:szCs w:val="18"/>
                <w:u w:val="single"/>
              </w:rPr>
            </w:pPr>
            <w:r w:rsidRPr="001F6A13">
              <w:rPr>
                <w:rFonts w:ascii="Times New Roman" w:hAnsi="Times New Roman"/>
                <w:b/>
                <w:sz w:val="18"/>
                <w:szCs w:val="18"/>
                <w:u w:val="single"/>
              </w:rPr>
              <w:t>Summary of Proposed Ordinance and Statement of Public Purpose to be Served</w:t>
            </w:r>
            <w:r w:rsidRPr="001F6A13">
              <w:rPr>
                <w:rFonts w:ascii="Times New Roman" w:hAnsi="Times New Roman"/>
                <w:b/>
                <w:sz w:val="18"/>
                <w:szCs w:val="18"/>
              </w:rPr>
              <w:t>:</w:t>
            </w:r>
          </w:p>
          <w:p w14:paraId="44B2E8A2" w14:textId="77777777" w:rsidR="007A07BC" w:rsidRPr="007A07BC" w:rsidRDefault="007A07BC" w:rsidP="007A07BC">
            <w:pPr>
              <w:widowControl w:val="0"/>
              <w:autoSpaceDE w:val="0"/>
              <w:autoSpaceDN w:val="0"/>
              <w:spacing w:before="58"/>
              <w:ind w:right="720"/>
              <w:jc w:val="both"/>
              <w:rPr>
                <w:rFonts w:ascii="Times New Roman" w:hAnsi="Times New Roman"/>
                <w:bCs/>
                <w:sz w:val="18"/>
                <w:szCs w:val="18"/>
              </w:rPr>
            </w:pPr>
            <w:r w:rsidRPr="007A07BC">
              <w:rPr>
                <w:rFonts w:ascii="Times New Roman" w:hAnsi="Times New Roman"/>
                <w:bCs/>
                <w:sz w:val="18"/>
                <w:szCs w:val="18"/>
              </w:rPr>
              <w:t>The proposed ordinance amends the City’s Future Land Use Map by redesignating multiple parcels—currently designated as “Mixed-Use Commercial-Residential,” “Residential/Limited Commercial,” “Business Office,” “Parks and Open Space,” “Multi-Family Residential,” “Townhouse Residential,” “Single-Family Residential,” “Hospital,” and “Public Institutional”—to “Transit-Supportive Development” (</w:t>
            </w:r>
            <w:proofErr w:type="spellStart"/>
            <w:r w:rsidRPr="007A07BC">
              <w:rPr>
                <w:rFonts w:ascii="Times New Roman" w:hAnsi="Times New Roman"/>
                <w:bCs/>
                <w:sz w:val="18"/>
                <w:szCs w:val="18"/>
              </w:rPr>
              <w:t>TSD</w:t>
            </w:r>
            <w:proofErr w:type="spellEnd"/>
            <w:r w:rsidRPr="007A07BC">
              <w:rPr>
                <w:rFonts w:ascii="Times New Roman" w:hAnsi="Times New Roman"/>
                <w:bCs/>
                <w:sz w:val="18"/>
                <w:szCs w:val="18"/>
              </w:rPr>
              <w:t>). This change aligns with the City’s Future Land Use Element, which promotes transit-oriented, mixed-use development along major corridors and in the Town Center while maintaining protections for lower-density neighborhoods.</w:t>
            </w:r>
          </w:p>
          <w:p w14:paraId="1E93792D" w14:textId="77777777" w:rsidR="007A07BC" w:rsidRPr="007A07BC" w:rsidRDefault="007A07BC" w:rsidP="007A07BC">
            <w:pPr>
              <w:widowControl w:val="0"/>
              <w:autoSpaceDE w:val="0"/>
              <w:autoSpaceDN w:val="0"/>
              <w:spacing w:before="58"/>
              <w:ind w:right="720"/>
              <w:jc w:val="both"/>
              <w:rPr>
                <w:rFonts w:ascii="Times New Roman" w:hAnsi="Times New Roman"/>
                <w:bCs/>
                <w:sz w:val="18"/>
                <w:szCs w:val="18"/>
              </w:rPr>
            </w:pPr>
          </w:p>
          <w:p w14:paraId="04507BAB" w14:textId="77777777" w:rsidR="003145EE" w:rsidRDefault="007A07BC" w:rsidP="007A07BC">
            <w:pPr>
              <w:widowControl w:val="0"/>
              <w:autoSpaceDE w:val="0"/>
              <w:autoSpaceDN w:val="0"/>
              <w:spacing w:before="58"/>
              <w:ind w:right="720"/>
              <w:jc w:val="both"/>
              <w:rPr>
                <w:rFonts w:ascii="Times New Roman" w:hAnsi="Times New Roman"/>
                <w:bCs/>
                <w:sz w:val="18"/>
                <w:szCs w:val="18"/>
              </w:rPr>
            </w:pPr>
            <w:r w:rsidRPr="007A07BC">
              <w:rPr>
                <w:rFonts w:ascii="Times New Roman" w:hAnsi="Times New Roman"/>
                <w:bCs/>
                <w:sz w:val="18"/>
                <w:szCs w:val="18"/>
              </w:rPr>
              <w:t xml:space="preserve">This amendment is being considered alongside a separate ordinance establishing a maximum residential density for the </w:t>
            </w:r>
            <w:proofErr w:type="spellStart"/>
            <w:r w:rsidRPr="007A07BC">
              <w:rPr>
                <w:rFonts w:ascii="Times New Roman" w:hAnsi="Times New Roman"/>
                <w:bCs/>
                <w:sz w:val="18"/>
                <w:szCs w:val="18"/>
              </w:rPr>
              <w:t>TSD</w:t>
            </w:r>
            <w:proofErr w:type="spellEnd"/>
            <w:r w:rsidRPr="007A07BC">
              <w:rPr>
                <w:rFonts w:ascii="Times New Roman" w:hAnsi="Times New Roman"/>
                <w:bCs/>
                <w:sz w:val="18"/>
                <w:szCs w:val="18"/>
              </w:rPr>
              <w:t xml:space="preserve"> designation, ensuring that all future development remains consistent with concurrency standards and the City’s planning objectives.</w:t>
            </w:r>
          </w:p>
          <w:p w14:paraId="450471B1" w14:textId="1A9C8386" w:rsidR="007A07BC" w:rsidRPr="00E7617A" w:rsidRDefault="007A07BC" w:rsidP="007A07BC">
            <w:pPr>
              <w:widowControl w:val="0"/>
              <w:autoSpaceDE w:val="0"/>
              <w:autoSpaceDN w:val="0"/>
              <w:spacing w:before="58"/>
              <w:ind w:right="720"/>
              <w:jc w:val="both"/>
              <w:rPr>
                <w:rFonts w:ascii="Times New Roman" w:hAnsi="Times New Roman"/>
                <w:bCs/>
                <w:sz w:val="18"/>
                <w:szCs w:val="18"/>
              </w:rPr>
            </w:pPr>
          </w:p>
        </w:tc>
      </w:tr>
      <w:tr w:rsidR="00E95277" w:rsidRPr="001F6A13" w14:paraId="59234D81" w14:textId="77777777" w:rsidTr="0045020E">
        <w:trPr>
          <w:trHeight w:val="2685"/>
        </w:trPr>
        <w:tc>
          <w:tcPr>
            <w:tcW w:w="8984" w:type="dxa"/>
            <w:gridSpan w:val="3"/>
          </w:tcPr>
          <w:p w14:paraId="227FA2D1" w14:textId="1113253C" w:rsidR="00E95277" w:rsidRPr="001F6A13" w:rsidRDefault="0045020E" w:rsidP="00E95277">
            <w:pPr>
              <w:rPr>
                <w:rFonts w:ascii="Times New Roman" w:hAnsi="Times New Roman"/>
                <w:sz w:val="18"/>
                <w:szCs w:val="18"/>
              </w:rPr>
            </w:pPr>
            <w:r w:rsidRPr="001F6A13">
              <w:rPr>
                <w:rFonts w:ascii="Times New Roman" w:hAnsi="Times New Roman"/>
                <w:b/>
                <w:sz w:val="18"/>
                <w:szCs w:val="18"/>
                <w:u w:val="single"/>
              </w:rPr>
              <w:t xml:space="preserve">Estimate of Direct Economic Impact </w:t>
            </w:r>
            <w:r w:rsidR="00360660" w:rsidRPr="001F6A13">
              <w:rPr>
                <w:rFonts w:ascii="Times New Roman" w:hAnsi="Times New Roman"/>
                <w:b/>
                <w:sz w:val="18"/>
                <w:szCs w:val="18"/>
                <w:u w:val="single"/>
              </w:rPr>
              <w:t>on P</w:t>
            </w:r>
            <w:r w:rsidRPr="001F6A13">
              <w:rPr>
                <w:rFonts w:ascii="Times New Roman" w:hAnsi="Times New Roman"/>
                <w:b/>
                <w:sz w:val="18"/>
                <w:szCs w:val="18"/>
                <w:u w:val="single"/>
              </w:rPr>
              <w:t>rivate/</w:t>
            </w:r>
            <w:r w:rsidR="00360660" w:rsidRPr="001F6A13">
              <w:rPr>
                <w:rFonts w:ascii="Times New Roman" w:hAnsi="Times New Roman"/>
                <w:b/>
                <w:sz w:val="18"/>
                <w:szCs w:val="18"/>
                <w:u w:val="single"/>
              </w:rPr>
              <w:t>F</w:t>
            </w:r>
            <w:r w:rsidRPr="001F6A13">
              <w:rPr>
                <w:rFonts w:ascii="Times New Roman" w:hAnsi="Times New Roman"/>
                <w:b/>
                <w:sz w:val="18"/>
                <w:szCs w:val="18"/>
                <w:u w:val="single"/>
              </w:rPr>
              <w:t xml:space="preserve">or </w:t>
            </w:r>
            <w:r w:rsidR="00360660" w:rsidRPr="001F6A13">
              <w:rPr>
                <w:rFonts w:ascii="Times New Roman" w:hAnsi="Times New Roman"/>
                <w:b/>
                <w:sz w:val="18"/>
                <w:szCs w:val="18"/>
                <w:u w:val="single"/>
              </w:rPr>
              <w:t>P</w:t>
            </w:r>
            <w:r w:rsidRPr="001F6A13">
              <w:rPr>
                <w:rFonts w:ascii="Times New Roman" w:hAnsi="Times New Roman"/>
                <w:b/>
                <w:sz w:val="18"/>
                <w:szCs w:val="18"/>
                <w:u w:val="single"/>
              </w:rPr>
              <w:t xml:space="preserve">rofit </w:t>
            </w:r>
            <w:r w:rsidR="00360660" w:rsidRPr="001F6A13">
              <w:rPr>
                <w:rFonts w:ascii="Times New Roman" w:hAnsi="Times New Roman"/>
                <w:b/>
                <w:sz w:val="18"/>
                <w:szCs w:val="18"/>
                <w:u w:val="single"/>
              </w:rPr>
              <w:t>B</w:t>
            </w:r>
            <w:r w:rsidRPr="001F6A13">
              <w:rPr>
                <w:rFonts w:ascii="Times New Roman" w:hAnsi="Times New Roman"/>
                <w:b/>
                <w:sz w:val="18"/>
                <w:szCs w:val="18"/>
                <w:u w:val="single"/>
              </w:rPr>
              <w:t>usiness</w:t>
            </w:r>
            <w:r w:rsidR="00360660" w:rsidRPr="001F6A13">
              <w:rPr>
                <w:rFonts w:ascii="Times New Roman" w:hAnsi="Times New Roman"/>
                <w:b/>
                <w:sz w:val="18"/>
                <w:szCs w:val="18"/>
                <w:u w:val="single"/>
              </w:rPr>
              <w:t>es</w:t>
            </w:r>
            <w:r w:rsidR="00AD4E8F" w:rsidRPr="001F6A13">
              <w:rPr>
                <w:rFonts w:ascii="Times New Roman" w:hAnsi="Times New Roman"/>
                <w:b/>
                <w:sz w:val="18"/>
                <w:szCs w:val="18"/>
              </w:rPr>
              <w:t>:</w:t>
            </w:r>
          </w:p>
          <w:p w14:paraId="1595F728" w14:textId="77777777" w:rsidR="0045020E" w:rsidRPr="001F6A13" w:rsidRDefault="0045020E" w:rsidP="00E95277">
            <w:pPr>
              <w:rPr>
                <w:rFonts w:ascii="Times New Roman" w:hAnsi="Times New Roman"/>
                <w:sz w:val="18"/>
                <w:szCs w:val="18"/>
              </w:rPr>
            </w:pPr>
          </w:p>
          <w:p w14:paraId="35377B18" w14:textId="77777777" w:rsidR="0045020E" w:rsidRPr="001F6A13" w:rsidRDefault="0045020E" w:rsidP="0045020E">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 xml:space="preserve">Estimate of </w:t>
            </w:r>
            <w:r w:rsidR="00360660" w:rsidRPr="001F6A13">
              <w:rPr>
                <w:rFonts w:ascii="Times New Roman" w:hAnsi="Times New Roman"/>
                <w:sz w:val="18"/>
                <w:szCs w:val="18"/>
                <w:u w:val="single"/>
              </w:rPr>
              <w:t xml:space="preserve">Direct </w:t>
            </w:r>
            <w:r w:rsidR="00A410F7" w:rsidRPr="001F6A13">
              <w:rPr>
                <w:rFonts w:ascii="Times New Roman" w:hAnsi="Times New Roman"/>
                <w:sz w:val="18"/>
                <w:szCs w:val="18"/>
                <w:u w:val="single"/>
              </w:rPr>
              <w:t xml:space="preserve">Business </w:t>
            </w:r>
            <w:r w:rsidRPr="001F6A13">
              <w:rPr>
                <w:rFonts w:ascii="Times New Roman" w:hAnsi="Times New Roman"/>
                <w:sz w:val="18"/>
                <w:szCs w:val="18"/>
                <w:u w:val="single"/>
              </w:rPr>
              <w:t>Compliance Costs</w:t>
            </w:r>
            <w:r w:rsidRPr="001F6A13">
              <w:rPr>
                <w:rFonts w:ascii="Times New Roman" w:hAnsi="Times New Roman"/>
                <w:sz w:val="18"/>
                <w:szCs w:val="18"/>
              </w:rPr>
              <w:t>:</w:t>
            </w:r>
          </w:p>
          <w:p w14:paraId="383C6B16" w14:textId="77777777" w:rsidR="00C42E25" w:rsidRPr="001F6A13" w:rsidRDefault="00C42E25" w:rsidP="0045020E">
            <w:pPr>
              <w:pStyle w:val="ListParagraph"/>
              <w:ind w:left="319"/>
              <w:rPr>
                <w:rFonts w:ascii="Times New Roman" w:hAnsi="Times New Roman"/>
                <w:sz w:val="18"/>
                <w:szCs w:val="18"/>
              </w:rPr>
            </w:pPr>
          </w:p>
          <w:p w14:paraId="2C7A1F16" w14:textId="24752354" w:rsidR="0045020E" w:rsidRPr="001F6A13" w:rsidRDefault="001F6A13" w:rsidP="0045020E">
            <w:pPr>
              <w:pStyle w:val="ListParagraph"/>
              <w:ind w:left="319"/>
              <w:rPr>
                <w:rFonts w:ascii="Times New Roman" w:hAnsi="Times New Roman"/>
                <w:sz w:val="18"/>
                <w:szCs w:val="18"/>
              </w:rPr>
            </w:pPr>
            <w:r>
              <w:rPr>
                <w:rFonts w:ascii="Times New Roman" w:hAnsi="Times New Roman"/>
                <w:sz w:val="18"/>
                <w:szCs w:val="18"/>
              </w:rPr>
              <w:t>None.</w:t>
            </w:r>
          </w:p>
          <w:p w14:paraId="014F7865" w14:textId="77777777" w:rsidR="005C4C7C" w:rsidRPr="001F6A13" w:rsidRDefault="005C4C7C" w:rsidP="0045020E">
            <w:pPr>
              <w:pStyle w:val="ListParagraph"/>
              <w:ind w:left="319"/>
              <w:rPr>
                <w:rFonts w:ascii="Times New Roman" w:hAnsi="Times New Roman"/>
                <w:sz w:val="18"/>
                <w:szCs w:val="18"/>
              </w:rPr>
            </w:pPr>
          </w:p>
          <w:p w14:paraId="44A2BA1D" w14:textId="6BC4BF11" w:rsidR="00360660" w:rsidRPr="001F6A13" w:rsidRDefault="006F6784" w:rsidP="00C42E25">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New Charges/Fees on Businesses Impacted</w:t>
            </w:r>
            <w:r w:rsidRPr="001F6A13">
              <w:rPr>
                <w:rFonts w:ascii="Times New Roman" w:hAnsi="Times New Roman"/>
                <w:sz w:val="18"/>
                <w:szCs w:val="18"/>
              </w:rPr>
              <w:t>:</w:t>
            </w:r>
          </w:p>
          <w:p w14:paraId="1D56D5F4" w14:textId="77777777" w:rsidR="00C42E25" w:rsidRPr="001F6A13" w:rsidRDefault="00C42E25" w:rsidP="00C42E25">
            <w:pPr>
              <w:pStyle w:val="ListParagraph"/>
              <w:ind w:left="319"/>
              <w:rPr>
                <w:rFonts w:ascii="Times New Roman" w:hAnsi="Times New Roman"/>
                <w:sz w:val="18"/>
                <w:szCs w:val="18"/>
                <w:u w:val="single"/>
              </w:rPr>
            </w:pPr>
          </w:p>
          <w:p w14:paraId="4D5CDB74" w14:textId="1A637D4F" w:rsidR="00C42E25" w:rsidRPr="001F6A13" w:rsidRDefault="001F6A13" w:rsidP="00C42E25">
            <w:pPr>
              <w:ind w:left="319"/>
              <w:rPr>
                <w:rFonts w:ascii="Times New Roman" w:hAnsi="Times New Roman"/>
                <w:sz w:val="18"/>
                <w:szCs w:val="18"/>
              </w:rPr>
            </w:pPr>
            <w:r>
              <w:rPr>
                <w:rFonts w:ascii="Times New Roman" w:hAnsi="Times New Roman"/>
                <w:sz w:val="18"/>
                <w:szCs w:val="18"/>
              </w:rPr>
              <w:t>None.</w:t>
            </w:r>
          </w:p>
          <w:p w14:paraId="5AF347C7" w14:textId="77777777" w:rsidR="00C42E25" w:rsidRPr="001F6A13" w:rsidRDefault="00C42E25" w:rsidP="00C42E25">
            <w:pPr>
              <w:pStyle w:val="ListParagraph"/>
              <w:ind w:left="319"/>
              <w:rPr>
                <w:rFonts w:ascii="Times New Roman" w:hAnsi="Times New Roman"/>
                <w:sz w:val="18"/>
                <w:szCs w:val="18"/>
              </w:rPr>
            </w:pPr>
          </w:p>
          <w:p w14:paraId="31CAC4AD" w14:textId="77777777" w:rsidR="006F6784" w:rsidRPr="001F6A13" w:rsidRDefault="006F6784" w:rsidP="0045020E">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Estimate of Regulatory Costs</w:t>
            </w:r>
            <w:r w:rsidRPr="001F6A13">
              <w:rPr>
                <w:rFonts w:ascii="Times New Roman" w:hAnsi="Times New Roman"/>
                <w:sz w:val="18"/>
                <w:szCs w:val="18"/>
              </w:rPr>
              <w:t>:</w:t>
            </w:r>
          </w:p>
          <w:p w14:paraId="37CFAD3C" w14:textId="77777777" w:rsidR="00C42E25" w:rsidRPr="001F6A13" w:rsidRDefault="00C42E25" w:rsidP="00C42E25">
            <w:pPr>
              <w:ind w:left="319"/>
              <w:rPr>
                <w:rFonts w:ascii="Times New Roman" w:hAnsi="Times New Roman"/>
                <w:sz w:val="18"/>
                <w:szCs w:val="18"/>
              </w:rPr>
            </w:pPr>
          </w:p>
          <w:p w14:paraId="20DF524A" w14:textId="002660C0" w:rsidR="00360660" w:rsidRPr="001F6A13" w:rsidRDefault="001F6A13" w:rsidP="00417FF2">
            <w:pPr>
              <w:ind w:left="319"/>
              <w:rPr>
                <w:rFonts w:ascii="Times New Roman" w:hAnsi="Times New Roman"/>
                <w:sz w:val="18"/>
                <w:szCs w:val="18"/>
              </w:rPr>
            </w:pPr>
            <w:r>
              <w:rPr>
                <w:rFonts w:ascii="Times New Roman" w:hAnsi="Times New Roman"/>
                <w:sz w:val="18"/>
                <w:szCs w:val="18"/>
              </w:rPr>
              <w:t>None.</w:t>
            </w:r>
          </w:p>
          <w:p w14:paraId="32649E8D" w14:textId="77777777" w:rsidR="00360660" w:rsidRPr="001F6A13" w:rsidRDefault="00360660" w:rsidP="00360660">
            <w:pPr>
              <w:rPr>
                <w:rFonts w:ascii="Times New Roman" w:hAnsi="Times New Roman"/>
                <w:sz w:val="18"/>
                <w:szCs w:val="18"/>
              </w:rPr>
            </w:pPr>
          </w:p>
        </w:tc>
      </w:tr>
      <w:tr w:rsidR="009A12EC" w:rsidRPr="001F6A13" w14:paraId="0A486975" w14:textId="77777777" w:rsidTr="007E0E72">
        <w:trPr>
          <w:trHeight w:val="525"/>
        </w:trPr>
        <w:tc>
          <w:tcPr>
            <w:tcW w:w="8984" w:type="dxa"/>
            <w:gridSpan w:val="3"/>
          </w:tcPr>
          <w:p w14:paraId="3A61363D" w14:textId="77777777" w:rsidR="009A12EC" w:rsidRPr="001F6A13" w:rsidRDefault="006F6784" w:rsidP="006F6784">
            <w:pPr>
              <w:rPr>
                <w:rFonts w:ascii="Times New Roman" w:hAnsi="Times New Roman"/>
                <w:sz w:val="18"/>
                <w:szCs w:val="18"/>
              </w:rPr>
            </w:pPr>
            <w:r w:rsidRPr="001F6A13">
              <w:rPr>
                <w:rFonts w:ascii="Times New Roman" w:hAnsi="Times New Roman"/>
                <w:b/>
                <w:sz w:val="18"/>
                <w:szCs w:val="18"/>
                <w:u w:val="single"/>
              </w:rPr>
              <w:t xml:space="preserve">Good Faith </w:t>
            </w:r>
            <w:r w:rsidR="009A12EC" w:rsidRPr="001F6A13">
              <w:rPr>
                <w:rFonts w:ascii="Times New Roman" w:hAnsi="Times New Roman"/>
                <w:b/>
                <w:sz w:val="18"/>
                <w:szCs w:val="18"/>
                <w:u w:val="single"/>
              </w:rPr>
              <w:t>Estimate of</w:t>
            </w:r>
            <w:r w:rsidRPr="001F6A13">
              <w:rPr>
                <w:rFonts w:ascii="Times New Roman" w:hAnsi="Times New Roman"/>
                <w:b/>
                <w:sz w:val="18"/>
                <w:szCs w:val="18"/>
                <w:u w:val="single"/>
              </w:rPr>
              <w:t xml:space="preserve"> Number of Businesses </w:t>
            </w:r>
            <w:r w:rsidR="00AB52A9" w:rsidRPr="001F6A13">
              <w:rPr>
                <w:rFonts w:ascii="Times New Roman" w:hAnsi="Times New Roman"/>
                <w:b/>
                <w:sz w:val="18"/>
                <w:szCs w:val="18"/>
                <w:u w:val="single"/>
              </w:rPr>
              <w:t xml:space="preserve">Likely </w:t>
            </w:r>
            <w:r w:rsidRPr="001F6A13">
              <w:rPr>
                <w:rFonts w:ascii="Times New Roman" w:hAnsi="Times New Roman"/>
                <w:b/>
                <w:sz w:val="18"/>
                <w:szCs w:val="18"/>
                <w:u w:val="single"/>
              </w:rPr>
              <w:t>Impacted</w:t>
            </w:r>
            <w:r w:rsidR="009A12EC" w:rsidRPr="001F6A13">
              <w:rPr>
                <w:rFonts w:ascii="Times New Roman" w:hAnsi="Times New Roman"/>
                <w:sz w:val="18"/>
                <w:szCs w:val="18"/>
              </w:rPr>
              <w:t>:</w:t>
            </w:r>
          </w:p>
          <w:p w14:paraId="09044973" w14:textId="6E56F5E3" w:rsidR="004619F9" w:rsidRDefault="004619F9" w:rsidP="00AF7C19">
            <w:pPr>
              <w:jc w:val="both"/>
              <w:rPr>
                <w:rFonts w:ascii="Times New Roman" w:hAnsi="Times New Roman"/>
                <w:sz w:val="18"/>
                <w:szCs w:val="18"/>
              </w:rPr>
            </w:pPr>
          </w:p>
          <w:p w14:paraId="1395FE7E" w14:textId="6B413C5C" w:rsidR="00552A2A" w:rsidRPr="001F6A13" w:rsidRDefault="00552A2A" w:rsidP="00AF7C19">
            <w:pPr>
              <w:jc w:val="both"/>
              <w:rPr>
                <w:rFonts w:ascii="Times New Roman" w:hAnsi="Times New Roman"/>
                <w:sz w:val="18"/>
                <w:szCs w:val="18"/>
              </w:rPr>
            </w:pPr>
            <w:r>
              <w:rPr>
                <w:rFonts w:ascii="Times New Roman" w:hAnsi="Times New Roman"/>
                <w:sz w:val="18"/>
                <w:szCs w:val="18"/>
              </w:rPr>
              <w:t xml:space="preserve">Unknown. Businesses located in the </w:t>
            </w:r>
            <w:proofErr w:type="spellStart"/>
            <w:r>
              <w:rPr>
                <w:rFonts w:ascii="Times New Roman" w:hAnsi="Times New Roman"/>
                <w:sz w:val="18"/>
                <w:szCs w:val="18"/>
              </w:rPr>
              <w:t>TSD</w:t>
            </w:r>
            <w:proofErr w:type="spellEnd"/>
            <w:r>
              <w:rPr>
                <w:rFonts w:ascii="Times New Roman" w:hAnsi="Times New Roman"/>
                <w:sz w:val="18"/>
                <w:szCs w:val="18"/>
              </w:rPr>
              <w:t xml:space="preserve"> would be impacted.</w:t>
            </w:r>
          </w:p>
          <w:p w14:paraId="1B14DBFE" w14:textId="77777777" w:rsidR="00722B17" w:rsidRPr="001F6A13" w:rsidRDefault="00722B17" w:rsidP="006F6784">
            <w:pPr>
              <w:rPr>
                <w:rFonts w:ascii="Times New Roman" w:hAnsi="Times New Roman"/>
                <w:sz w:val="18"/>
                <w:szCs w:val="18"/>
              </w:rPr>
            </w:pPr>
          </w:p>
        </w:tc>
      </w:tr>
      <w:tr w:rsidR="009A12EC" w:rsidRPr="001F6A13" w14:paraId="73F7C09F" w14:textId="77777777" w:rsidTr="00AD4E8F">
        <w:trPr>
          <w:trHeight w:val="264"/>
        </w:trPr>
        <w:tc>
          <w:tcPr>
            <w:tcW w:w="8984" w:type="dxa"/>
            <w:gridSpan w:val="3"/>
          </w:tcPr>
          <w:p w14:paraId="4E4874F0" w14:textId="5B5A5CE5" w:rsidR="00C42E25" w:rsidRPr="001F6A13" w:rsidRDefault="00360660" w:rsidP="00360660">
            <w:pPr>
              <w:rPr>
                <w:rFonts w:ascii="Times New Roman" w:hAnsi="Times New Roman"/>
                <w:sz w:val="18"/>
                <w:szCs w:val="18"/>
              </w:rPr>
            </w:pPr>
            <w:r w:rsidRPr="001F6A13">
              <w:rPr>
                <w:rFonts w:ascii="Times New Roman" w:hAnsi="Times New Roman"/>
                <w:b/>
                <w:sz w:val="18"/>
                <w:szCs w:val="18"/>
                <w:u w:val="single"/>
              </w:rPr>
              <w:t>Any Additional Information</w:t>
            </w:r>
            <w:r w:rsidR="009A12EC" w:rsidRPr="001F6A13">
              <w:rPr>
                <w:rFonts w:ascii="Times New Roman" w:hAnsi="Times New Roman"/>
                <w:sz w:val="18"/>
                <w:szCs w:val="18"/>
              </w:rPr>
              <w:t>:</w:t>
            </w:r>
          </w:p>
          <w:p w14:paraId="24FA683D" w14:textId="77777777" w:rsidR="00360660" w:rsidRPr="001F6A13" w:rsidRDefault="00360660" w:rsidP="00962474">
            <w:pPr>
              <w:rPr>
                <w:rFonts w:ascii="Times New Roman" w:hAnsi="Times New Roman"/>
                <w:sz w:val="18"/>
                <w:szCs w:val="18"/>
              </w:rPr>
            </w:pPr>
          </w:p>
          <w:p w14:paraId="460CCBEB" w14:textId="4F107F7C" w:rsidR="00B15768" w:rsidRPr="001F6A13" w:rsidRDefault="00B15768" w:rsidP="00962474">
            <w:pPr>
              <w:rPr>
                <w:rFonts w:ascii="Times New Roman" w:hAnsi="Times New Roman"/>
                <w:sz w:val="18"/>
                <w:szCs w:val="18"/>
              </w:rPr>
            </w:pPr>
          </w:p>
        </w:tc>
      </w:tr>
      <w:tr w:rsidR="00C42E25" w:rsidRPr="001F6A13" w14:paraId="5CFD2B6A" w14:textId="77777777" w:rsidTr="00AD4E8F">
        <w:trPr>
          <w:trHeight w:val="264"/>
        </w:trPr>
        <w:tc>
          <w:tcPr>
            <w:tcW w:w="8984" w:type="dxa"/>
            <w:gridSpan w:val="3"/>
          </w:tcPr>
          <w:p w14:paraId="77775B6B" w14:textId="77777777" w:rsidR="00C42E25" w:rsidRPr="001F6A13" w:rsidRDefault="00C42E25" w:rsidP="00C42E25">
            <w:pPr>
              <w:rPr>
                <w:rFonts w:ascii="Times New Roman" w:hAnsi="Times New Roman"/>
                <w:b/>
                <w:sz w:val="18"/>
                <w:szCs w:val="18"/>
                <w:u w:val="single"/>
              </w:rPr>
            </w:pPr>
            <w:r w:rsidRPr="001F6A13">
              <w:rPr>
                <w:rFonts w:ascii="Times New Roman" w:hAnsi="Times New Roman"/>
                <w:b/>
                <w:sz w:val="18"/>
                <w:szCs w:val="18"/>
                <w:u w:val="single"/>
              </w:rPr>
              <w:t>Applicable Exemptions</w:t>
            </w:r>
            <w:r w:rsidRPr="001F6A13">
              <w:rPr>
                <w:rStyle w:val="FootnoteReference"/>
                <w:rFonts w:ascii="Times New Roman" w:hAnsi="Times New Roman"/>
                <w:b/>
                <w:sz w:val="18"/>
                <w:szCs w:val="18"/>
                <w:u w:val="single"/>
              </w:rPr>
              <w:footnoteReference w:id="3"/>
            </w:r>
            <w:r w:rsidRPr="001F6A13">
              <w:rPr>
                <w:rFonts w:ascii="Times New Roman" w:hAnsi="Times New Roman"/>
                <w:b/>
                <w:sz w:val="18"/>
                <w:szCs w:val="18"/>
              </w:rPr>
              <w:t>:</w:t>
            </w:r>
          </w:p>
          <w:p w14:paraId="38FB16E0" w14:textId="77777777" w:rsidR="00C42E25" w:rsidRPr="001F6A13" w:rsidRDefault="00C42E25" w:rsidP="00C42E25">
            <w:pPr>
              <w:pStyle w:val="EndnoteText"/>
              <w:rPr>
                <w:rFonts w:ascii="Times New Roman" w:hAnsi="Times New Roman"/>
                <w:sz w:val="18"/>
                <w:szCs w:val="18"/>
              </w:rPr>
            </w:pPr>
          </w:p>
          <w:p w14:paraId="13A964B9" w14:textId="77777777" w:rsidR="00C42E25" w:rsidRPr="001F6A13" w:rsidRDefault="00C42E25" w:rsidP="00C42E25">
            <w:pPr>
              <w:pStyle w:val="EndnoteText"/>
              <w:jc w:val="both"/>
              <w:rPr>
                <w:rFonts w:ascii="Times New Roman" w:hAnsi="Times New Roman"/>
                <w:sz w:val="18"/>
                <w:szCs w:val="18"/>
              </w:rPr>
            </w:pPr>
            <w:r w:rsidRPr="001F6A13">
              <w:rPr>
                <w:rFonts w:ascii="Times New Roman" w:hAnsi="Times New Roman"/>
                <w:sz w:val="18"/>
                <w:szCs w:val="18"/>
              </w:rPr>
              <w:t>This Business Impact Estimate is not required for ordinances that fall under the following exemptions:</w:t>
            </w:r>
          </w:p>
          <w:p w14:paraId="6489BC69" w14:textId="77777777" w:rsidR="00C42E25" w:rsidRPr="001F6A13" w:rsidRDefault="00A95B63"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10917246"/>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The proposed ordinance is required for compliance with Federal or State law or </w:t>
            </w:r>
            <w:r w:rsidR="00C42E25" w:rsidRPr="001F6A13">
              <w:rPr>
                <w:rFonts w:ascii="Times New Roman" w:hAnsi="Times New Roman"/>
                <w:spacing w:val="-2"/>
                <w:sz w:val="18"/>
                <w:szCs w:val="18"/>
              </w:rPr>
              <w:t>regulation.</w:t>
            </w:r>
          </w:p>
          <w:p w14:paraId="130DF29F" w14:textId="77777777" w:rsidR="00C42E25" w:rsidRPr="001F6A13" w:rsidRDefault="00A95B63"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415762630"/>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1"/>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relates</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issuance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or</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refinancing</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of</w:t>
            </w:r>
            <w:r w:rsidR="00C42E25" w:rsidRPr="001F6A13">
              <w:rPr>
                <w:rFonts w:ascii="Times New Roman" w:hAnsi="Times New Roman"/>
                <w:spacing w:val="-1"/>
                <w:sz w:val="18"/>
                <w:szCs w:val="18"/>
              </w:rPr>
              <w:t xml:space="preserve"> </w:t>
            </w:r>
            <w:r w:rsidR="00C42E25" w:rsidRPr="001F6A13">
              <w:rPr>
                <w:rFonts w:ascii="Times New Roman" w:hAnsi="Times New Roman"/>
                <w:spacing w:val="-2"/>
                <w:sz w:val="18"/>
                <w:szCs w:val="18"/>
              </w:rPr>
              <w:t>debt.</w:t>
            </w:r>
          </w:p>
          <w:p w14:paraId="19217583" w14:textId="77777777" w:rsidR="00C42E25" w:rsidRPr="001F6A13" w:rsidRDefault="00A95B63" w:rsidP="00C42E25">
            <w:pPr>
              <w:pStyle w:val="ListParagraph"/>
              <w:widowControl w:val="0"/>
              <w:autoSpaceDE w:val="0"/>
              <w:autoSpaceDN w:val="0"/>
              <w:ind w:left="792" w:hanging="432"/>
              <w:contextualSpacing w:val="0"/>
              <w:jc w:val="both"/>
              <w:rPr>
                <w:rFonts w:ascii="Times New Roman" w:hAnsi="Times New Roman"/>
                <w:sz w:val="18"/>
                <w:szCs w:val="18"/>
              </w:rPr>
            </w:pPr>
            <w:sdt>
              <w:sdtPr>
                <w:rPr>
                  <w:rFonts w:ascii="Times New Roman" w:hAnsi="Times New Roman"/>
                  <w:sz w:val="18"/>
                  <w:szCs w:val="18"/>
                </w:rPr>
                <w:id w:val="116719329"/>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The proposed ordinance relates to the adoption of budgets or budget amendments, including revenue sources </w:t>
            </w:r>
            <w:r w:rsidR="00C42E25" w:rsidRPr="001F6A13">
              <w:rPr>
                <w:rFonts w:ascii="Times New Roman" w:hAnsi="Times New Roman"/>
                <w:sz w:val="18"/>
                <w:szCs w:val="18"/>
              </w:rPr>
              <w:lastRenderedPageBreak/>
              <w:t>necessary to fund the budget.</w:t>
            </w:r>
          </w:p>
          <w:p w14:paraId="33A5DB76" w14:textId="77777777" w:rsidR="00C42E25" w:rsidRPr="001F6A13" w:rsidRDefault="00A95B63" w:rsidP="00C42E25">
            <w:pPr>
              <w:pStyle w:val="ListParagraph"/>
              <w:widowControl w:val="0"/>
              <w:autoSpaceDE w:val="0"/>
              <w:autoSpaceDN w:val="0"/>
              <w:ind w:left="792" w:hanging="432"/>
              <w:contextualSpacing w:val="0"/>
              <w:jc w:val="both"/>
              <w:rPr>
                <w:rFonts w:ascii="Times New Roman" w:hAnsi="Times New Roman"/>
                <w:sz w:val="18"/>
                <w:szCs w:val="18"/>
              </w:rPr>
            </w:pPr>
            <w:sdt>
              <w:sdtPr>
                <w:rPr>
                  <w:rFonts w:ascii="Times New Roman" w:hAnsi="Times New Roman"/>
                  <w:sz w:val="18"/>
                  <w:szCs w:val="18"/>
                </w:rPr>
                <w:id w:val="-1657830177"/>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 proposed ordinance is required to implement a contract or an agreement, including, but not limited to, any Federal, State, local, or private grant, or other financial assistance accepted by the municipal government.</w:t>
            </w:r>
          </w:p>
          <w:p w14:paraId="7CE11288" w14:textId="77777777" w:rsidR="00C42E25" w:rsidRPr="001F6A13" w:rsidRDefault="00A95B63"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72356975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5"/>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is</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an</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emergency</w:t>
            </w:r>
            <w:r w:rsidR="00C42E25" w:rsidRPr="001F6A13">
              <w:rPr>
                <w:rFonts w:ascii="Times New Roman" w:hAnsi="Times New Roman"/>
                <w:spacing w:val="-2"/>
                <w:sz w:val="18"/>
                <w:szCs w:val="18"/>
              </w:rPr>
              <w:t xml:space="preserve"> ordinance.</w:t>
            </w:r>
          </w:p>
          <w:p w14:paraId="6190F559" w14:textId="77777777" w:rsidR="00C42E25" w:rsidRPr="001F6A13" w:rsidRDefault="00A95B63"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2067710079"/>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3"/>
                <w:sz w:val="18"/>
                <w:szCs w:val="18"/>
              </w:rPr>
              <w:t xml:space="preserve"> proposed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relates</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procurement.</w:t>
            </w:r>
          </w:p>
          <w:p w14:paraId="1121409C" w14:textId="77777777" w:rsidR="00C42E25" w:rsidRPr="001F6A13" w:rsidRDefault="00A95B63"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263454591"/>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is</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enacted</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implement</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2"/>
                <w:sz w:val="18"/>
                <w:szCs w:val="18"/>
              </w:rPr>
              <w:t xml:space="preserve"> following:</w:t>
            </w:r>
          </w:p>
          <w:p w14:paraId="43B85C04" w14:textId="77777777" w:rsidR="00C42E25" w:rsidRPr="001F6A13" w:rsidRDefault="00A95B63"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148620249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Development orders and development permits, as those terms are defined in s. 163.3164, and development agreements, as authorized by the Florida Local Government Development Agreement Act under ss. 163.3220-163.3243;</w:t>
            </w:r>
          </w:p>
          <w:p w14:paraId="12AED9E7" w14:textId="77777777" w:rsidR="00C42E25" w:rsidRPr="001F6A13" w:rsidRDefault="00A95B63"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798040676"/>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Comprehensive plan amendments and land development regulation amendments initiated by an application by a private party other than the municipality;</w:t>
            </w:r>
          </w:p>
          <w:p w14:paraId="58EA1B3A" w14:textId="77777777" w:rsidR="00C42E25" w:rsidRPr="001F6A13" w:rsidRDefault="00A95B63"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584070002"/>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Sections 190.005 and 190.046, Florida Statutes, regarding community development districts;</w:t>
            </w:r>
          </w:p>
          <w:p w14:paraId="282375A2" w14:textId="77777777" w:rsidR="00C42E25" w:rsidRPr="001F6A13" w:rsidRDefault="00A95B63" w:rsidP="00C42E25">
            <w:pPr>
              <w:pStyle w:val="ListParagraph"/>
              <w:widowControl w:val="0"/>
              <w:autoSpaceDE w:val="0"/>
              <w:autoSpaceDN w:val="0"/>
              <w:spacing w:before="58"/>
              <w:ind w:left="1080" w:right="720" w:hanging="360"/>
              <w:contextualSpacing w:val="0"/>
              <w:jc w:val="both"/>
              <w:rPr>
                <w:rFonts w:ascii="Times New Roman" w:hAnsi="Times New Roman"/>
                <w:b/>
                <w:sz w:val="18"/>
                <w:szCs w:val="18"/>
                <w:u w:val="single"/>
              </w:rPr>
            </w:pPr>
            <w:sdt>
              <w:sdtPr>
                <w:rPr>
                  <w:rFonts w:ascii="Times New Roman" w:hAnsi="Times New Roman"/>
                  <w:sz w:val="18"/>
                  <w:szCs w:val="18"/>
                </w:rPr>
                <w:id w:val="-68497481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Section</w:t>
            </w:r>
            <w:r w:rsidR="00C42E25" w:rsidRPr="001F6A13">
              <w:rPr>
                <w:rFonts w:ascii="Times New Roman" w:hAnsi="Times New Roman"/>
                <w:spacing w:val="-6"/>
                <w:sz w:val="18"/>
                <w:szCs w:val="18"/>
              </w:rPr>
              <w:t xml:space="preserve"> </w:t>
            </w:r>
            <w:r w:rsidR="00C42E25" w:rsidRPr="001F6A13">
              <w:rPr>
                <w:rFonts w:ascii="Times New Roman" w:hAnsi="Times New Roman"/>
                <w:sz w:val="18"/>
                <w:szCs w:val="18"/>
              </w:rPr>
              <w:t>553.73,</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Florida</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Statutes,</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relating</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Florida</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Building</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Code;</w:t>
            </w:r>
            <w:r w:rsidR="00C42E25" w:rsidRPr="001F6A13">
              <w:rPr>
                <w:rFonts w:ascii="Times New Roman" w:hAnsi="Times New Roman"/>
                <w:spacing w:val="-4"/>
                <w:sz w:val="18"/>
                <w:szCs w:val="18"/>
              </w:rPr>
              <w:t xml:space="preserve"> </w:t>
            </w:r>
            <w:r w:rsidR="00C42E25" w:rsidRPr="001F6A13">
              <w:rPr>
                <w:rFonts w:ascii="Times New Roman" w:hAnsi="Times New Roman"/>
                <w:spacing w:val="-5"/>
                <w:sz w:val="18"/>
                <w:szCs w:val="18"/>
              </w:rPr>
              <w:t>or</w:t>
            </w:r>
          </w:p>
          <w:p w14:paraId="08A27F60" w14:textId="7364A177" w:rsidR="00C42E25" w:rsidRPr="001F6A13" w:rsidRDefault="00A95B63" w:rsidP="00C42E25">
            <w:pPr>
              <w:rPr>
                <w:rFonts w:ascii="Times New Roman" w:hAnsi="Times New Roman"/>
                <w:b/>
                <w:sz w:val="18"/>
                <w:szCs w:val="18"/>
                <w:u w:val="single"/>
              </w:rPr>
            </w:pPr>
            <w:sdt>
              <w:sdtPr>
                <w:rPr>
                  <w:rFonts w:ascii="Times New Roman" w:hAnsi="Times New Roman"/>
                  <w:sz w:val="18"/>
                  <w:szCs w:val="18"/>
                </w:rPr>
                <w:id w:val="-1463341122"/>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Section 633.202, Florida Statutes, relating to the Florida Fire Prevention </w:t>
            </w:r>
            <w:r w:rsidR="00C42E25" w:rsidRPr="001F6A13">
              <w:rPr>
                <w:rFonts w:ascii="Times New Roman" w:hAnsi="Times New Roman"/>
                <w:spacing w:val="-2"/>
                <w:sz w:val="18"/>
                <w:szCs w:val="18"/>
              </w:rPr>
              <w:t>Code</w:t>
            </w:r>
          </w:p>
        </w:tc>
      </w:tr>
    </w:tbl>
    <w:p w14:paraId="02A59431" w14:textId="77777777" w:rsidR="00BA55ED" w:rsidRPr="001F6A13" w:rsidRDefault="00BA55ED" w:rsidP="006F2C25">
      <w:pPr>
        <w:rPr>
          <w:rFonts w:ascii="Times New Roman" w:hAnsi="Times New Roman"/>
        </w:rPr>
      </w:pPr>
    </w:p>
    <w:p w14:paraId="4440EF17" w14:textId="77777777" w:rsidR="002E01AC" w:rsidRPr="001F6A13" w:rsidRDefault="002E01AC">
      <w:pPr>
        <w:rPr>
          <w:rFonts w:ascii="Times New Roman" w:hAnsi="Times New Roman"/>
        </w:rPr>
      </w:pPr>
    </w:p>
    <w:sectPr w:rsidR="002E01AC" w:rsidRPr="001F6A13" w:rsidSect="00360660">
      <w:type w:val="continuous"/>
      <w:pgSz w:w="11910" w:h="16840" w:code="9"/>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C544" w14:textId="77777777" w:rsidR="0052631B" w:rsidRDefault="0052631B" w:rsidP="007E0E72">
      <w:r>
        <w:separator/>
      </w:r>
    </w:p>
  </w:endnote>
  <w:endnote w:type="continuationSeparator" w:id="0">
    <w:p w14:paraId="33501780" w14:textId="77777777" w:rsidR="0052631B" w:rsidRDefault="0052631B" w:rsidP="007E0E72">
      <w:r>
        <w:continuationSeparator/>
      </w:r>
    </w:p>
  </w:endnote>
  <w:endnote w:type="continuationNotice" w:id="1">
    <w:p w14:paraId="47B635B6" w14:textId="77777777" w:rsidR="0052631B" w:rsidRDefault="0052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9B08" w14:textId="77777777" w:rsidR="000B079B" w:rsidRDefault="000B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10BD" w14:textId="77777777" w:rsidR="0052631B" w:rsidRDefault="0052631B" w:rsidP="007E0E72">
      <w:r>
        <w:separator/>
      </w:r>
    </w:p>
  </w:footnote>
  <w:footnote w:type="continuationSeparator" w:id="0">
    <w:p w14:paraId="4836C310" w14:textId="77777777" w:rsidR="0052631B" w:rsidRDefault="0052631B" w:rsidP="007E0E72">
      <w:r>
        <w:continuationSeparator/>
      </w:r>
    </w:p>
  </w:footnote>
  <w:footnote w:type="continuationNotice" w:id="1">
    <w:p w14:paraId="51059615" w14:textId="77777777" w:rsidR="0052631B" w:rsidRDefault="0052631B"/>
  </w:footnote>
  <w:footnote w:id="2">
    <w:p w14:paraId="439610E2" w14:textId="4245A7D2" w:rsidR="002E01AC" w:rsidRPr="001F6A13" w:rsidRDefault="002E01AC" w:rsidP="002E01AC">
      <w:pPr>
        <w:pStyle w:val="FootnoteText"/>
        <w:jc w:val="both"/>
        <w:rPr>
          <w:rFonts w:ascii="Times New Roman" w:hAnsi="Times New Roman"/>
        </w:rPr>
      </w:pPr>
      <w:r w:rsidRPr="001F6A13">
        <w:rPr>
          <w:rStyle w:val="FootnoteReference"/>
          <w:rFonts w:ascii="Times New Roman" w:hAnsi="Times New Roman"/>
        </w:rPr>
        <w:footnoteRef/>
      </w:r>
      <w:r w:rsidRPr="001F6A13">
        <w:rPr>
          <w:rFonts w:ascii="Times New Roman" w:hAnsi="Times New Roman"/>
        </w:rPr>
        <w:t xml:space="preserve"> This Business Impact Estimate is provided to comply with the requirements of Section 166.041(4), Florida Statutes.  Please note that this Business Impact Estimate may be revised following its initial posting as new information or feedback becomes available.</w:t>
      </w:r>
    </w:p>
  </w:footnote>
  <w:footnote w:id="3">
    <w:p w14:paraId="7693355C" w14:textId="352EE214" w:rsidR="00C42E25" w:rsidRDefault="00C42E25" w:rsidP="00C42E25">
      <w:pPr>
        <w:pStyle w:val="FootnoteText"/>
        <w:jc w:val="both"/>
      </w:pPr>
      <w:r w:rsidRPr="001F6A13">
        <w:rPr>
          <w:rStyle w:val="FootnoteReference"/>
          <w:rFonts w:ascii="Times New Roman" w:hAnsi="Times New Roman"/>
        </w:rPr>
        <w:footnoteRef/>
      </w:r>
      <w:r w:rsidRPr="001F6A13">
        <w:rPr>
          <w:rFonts w:ascii="Times New Roman" w:hAnsi="Times New Roman"/>
        </w:rPr>
        <w:t xml:space="preserve"> If one or more boxes are checked under this section, it indicates that the </w:t>
      </w:r>
      <w:r w:rsidR="00D5596E">
        <w:rPr>
          <w:rFonts w:ascii="Times New Roman" w:hAnsi="Times New Roman"/>
        </w:rPr>
        <w:t>City</w:t>
      </w:r>
      <w:r w:rsidRPr="001F6A13">
        <w:rPr>
          <w:rFonts w:ascii="Times New Roman" w:hAnsi="Times New Roman"/>
        </w:rPr>
        <w:t xml:space="preserve"> has determined that a business impact estimate is not required by state law for the proposed ordinance, but the </w:t>
      </w:r>
      <w:r w:rsidR="00D5596E">
        <w:rPr>
          <w:rFonts w:ascii="Times New Roman" w:hAnsi="Times New Roman"/>
        </w:rPr>
        <w:t>City</w:t>
      </w:r>
      <w:r w:rsidRPr="001F6A13">
        <w:rPr>
          <w:rFonts w:ascii="Times New Roman" w:hAnsi="Times New Roman"/>
        </w:rPr>
        <w:t xml:space="preserve"> is providing the business impact estimate as a courtesy.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6527" w14:textId="77777777" w:rsidR="000B079B" w:rsidRDefault="000B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03DDB"/>
    <w:multiLevelType w:val="hybridMultilevel"/>
    <w:tmpl w:val="0E60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D4335"/>
    <w:multiLevelType w:val="hybridMultilevel"/>
    <w:tmpl w:val="DA3A6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8337F"/>
    <w:multiLevelType w:val="hybridMultilevel"/>
    <w:tmpl w:val="83CEF20A"/>
    <w:lvl w:ilvl="0" w:tplc="EDD82A36">
      <w:numFmt w:val="bullet"/>
      <w:lvlText w:val="☐"/>
      <w:lvlJc w:val="left"/>
      <w:pPr>
        <w:ind w:left="220" w:hanging="720"/>
      </w:pPr>
      <w:rPr>
        <w:rFonts w:ascii="MS Gothic" w:eastAsia="MS Gothic" w:hAnsi="MS Gothic" w:cs="MS Gothic" w:hint="default"/>
        <w:b w:val="0"/>
        <w:bCs w:val="0"/>
        <w:i w:val="0"/>
        <w:iCs w:val="0"/>
        <w:spacing w:val="0"/>
        <w:w w:val="100"/>
        <w:sz w:val="24"/>
        <w:szCs w:val="24"/>
        <w:lang w:val="en-US" w:eastAsia="en-US" w:bidi="ar-SA"/>
      </w:rPr>
    </w:lvl>
    <w:lvl w:ilvl="1" w:tplc="BA886C4E">
      <w:numFmt w:val="bullet"/>
      <w:lvlText w:val="☐"/>
      <w:lvlJc w:val="left"/>
      <w:pPr>
        <w:ind w:left="1660" w:hanging="720"/>
      </w:pPr>
      <w:rPr>
        <w:rFonts w:ascii="MS Gothic" w:eastAsia="MS Gothic" w:hAnsi="MS Gothic" w:cs="MS Gothic" w:hint="default"/>
        <w:b w:val="0"/>
        <w:bCs w:val="0"/>
        <w:i w:val="0"/>
        <w:iCs w:val="0"/>
        <w:spacing w:val="0"/>
        <w:w w:val="100"/>
        <w:sz w:val="24"/>
        <w:szCs w:val="24"/>
        <w:lang w:val="en-US" w:eastAsia="en-US" w:bidi="ar-SA"/>
      </w:rPr>
    </w:lvl>
    <w:lvl w:ilvl="2" w:tplc="67EE7E8C">
      <w:numFmt w:val="bullet"/>
      <w:lvlText w:val="•"/>
      <w:lvlJc w:val="left"/>
      <w:pPr>
        <w:ind w:left="2615" w:hanging="720"/>
      </w:pPr>
      <w:rPr>
        <w:rFonts w:hint="default"/>
        <w:lang w:val="en-US" w:eastAsia="en-US" w:bidi="ar-SA"/>
      </w:rPr>
    </w:lvl>
    <w:lvl w:ilvl="3" w:tplc="2F8A4D20">
      <w:numFmt w:val="bullet"/>
      <w:lvlText w:val="•"/>
      <w:lvlJc w:val="left"/>
      <w:pPr>
        <w:ind w:left="3571" w:hanging="720"/>
      </w:pPr>
      <w:rPr>
        <w:rFonts w:hint="default"/>
        <w:lang w:val="en-US" w:eastAsia="en-US" w:bidi="ar-SA"/>
      </w:rPr>
    </w:lvl>
    <w:lvl w:ilvl="4" w:tplc="35FED8DA">
      <w:numFmt w:val="bullet"/>
      <w:lvlText w:val="•"/>
      <w:lvlJc w:val="left"/>
      <w:pPr>
        <w:ind w:left="4526" w:hanging="720"/>
      </w:pPr>
      <w:rPr>
        <w:rFonts w:hint="default"/>
        <w:lang w:val="en-US" w:eastAsia="en-US" w:bidi="ar-SA"/>
      </w:rPr>
    </w:lvl>
    <w:lvl w:ilvl="5" w:tplc="9CC47FD2">
      <w:numFmt w:val="bullet"/>
      <w:lvlText w:val="•"/>
      <w:lvlJc w:val="left"/>
      <w:pPr>
        <w:ind w:left="5482" w:hanging="720"/>
      </w:pPr>
      <w:rPr>
        <w:rFonts w:hint="default"/>
        <w:lang w:val="en-US" w:eastAsia="en-US" w:bidi="ar-SA"/>
      </w:rPr>
    </w:lvl>
    <w:lvl w:ilvl="6" w:tplc="0BCAAB2A">
      <w:numFmt w:val="bullet"/>
      <w:lvlText w:val="•"/>
      <w:lvlJc w:val="left"/>
      <w:pPr>
        <w:ind w:left="6437" w:hanging="720"/>
      </w:pPr>
      <w:rPr>
        <w:rFonts w:hint="default"/>
        <w:lang w:val="en-US" w:eastAsia="en-US" w:bidi="ar-SA"/>
      </w:rPr>
    </w:lvl>
    <w:lvl w:ilvl="7" w:tplc="F30828EE">
      <w:numFmt w:val="bullet"/>
      <w:lvlText w:val="•"/>
      <w:lvlJc w:val="left"/>
      <w:pPr>
        <w:ind w:left="7393" w:hanging="720"/>
      </w:pPr>
      <w:rPr>
        <w:rFonts w:hint="default"/>
        <w:lang w:val="en-US" w:eastAsia="en-US" w:bidi="ar-SA"/>
      </w:rPr>
    </w:lvl>
    <w:lvl w:ilvl="8" w:tplc="919EDBFC">
      <w:numFmt w:val="bullet"/>
      <w:lvlText w:val="•"/>
      <w:lvlJc w:val="left"/>
      <w:pPr>
        <w:ind w:left="8348" w:hanging="720"/>
      </w:pPr>
      <w:rPr>
        <w:rFonts w:hint="default"/>
        <w:lang w:val="en-US" w:eastAsia="en-US" w:bidi="ar-SA"/>
      </w:rPr>
    </w:lvl>
  </w:abstractNum>
  <w:num w:numId="1" w16cid:durableId="1767463517">
    <w:abstractNumId w:val="0"/>
  </w:num>
  <w:num w:numId="2" w16cid:durableId="1167093389">
    <w:abstractNumId w:val="1"/>
  </w:num>
  <w:num w:numId="3" w16cid:durableId="48177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rawingGridVerticalSpacing w:val="299"/>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ED"/>
    <w:rsid w:val="00074247"/>
    <w:rsid w:val="00074EFF"/>
    <w:rsid w:val="000B079B"/>
    <w:rsid w:val="000B24F0"/>
    <w:rsid w:val="000B31AE"/>
    <w:rsid w:val="00117C64"/>
    <w:rsid w:val="001231D7"/>
    <w:rsid w:val="001B1035"/>
    <w:rsid w:val="001F1A67"/>
    <w:rsid w:val="001F6A13"/>
    <w:rsid w:val="002025A1"/>
    <w:rsid w:val="00227FA8"/>
    <w:rsid w:val="0027518F"/>
    <w:rsid w:val="00283420"/>
    <w:rsid w:val="002E01AC"/>
    <w:rsid w:val="003145EE"/>
    <w:rsid w:val="00326481"/>
    <w:rsid w:val="00360660"/>
    <w:rsid w:val="003928D7"/>
    <w:rsid w:val="003F08DD"/>
    <w:rsid w:val="00405EE7"/>
    <w:rsid w:val="00417FF2"/>
    <w:rsid w:val="0045020E"/>
    <w:rsid w:val="00453B29"/>
    <w:rsid w:val="004619F9"/>
    <w:rsid w:val="004F48C2"/>
    <w:rsid w:val="0052631B"/>
    <w:rsid w:val="00526740"/>
    <w:rsid w:val="00552A2A"/>
    <w:rsid w:val="0055595C"/>
    <w:rsid w:val="005C0511"/>
    <w:rsid w:val="005C4C7C"/>
    <w:rsid w:val="006506B0"/>
    <w:rsid w:val="0066776F"/>
    <w:rsid w:val="00682486"/>
    <w:rsid w:val="00691DA4"/>
    <w:rsid w:val="006F2C25"/>
    <w:rsid w:val="006F6784"/>
    <w:rsid w:val="00722B17"/>
    <w:rsid w:val="007A07BC"/>
    <w:rsid w:val="007E0E72"/>
    <w:rsid w:val="007E4335"/>
    <w:rsid w:val="0081122C"/>
    <w:rsid w:val="00824CC2"/>
    <w:rsid w:val="0086769D"/>
    <w:rsid w:val="00914490"/>
    <w:rsid w:val="00962474"/>
    <w:rsid w:val="00972606"/>
    <w:rsid w:val="00983661"/>
    <w:rsid w:val="00991D0D"/>
    <w:rsid w:val="009A12EC"/>
    <w:rsid w:val="00A410F7"/>
    <w:rsid w:val="00A95B63"/>
    <w:rsid w:val="00AB52A9"/>
    <w:rsid w:val="00AC06BB"/>
    <w:rsid w:val="00AD04B1"/>
    <w:rsid w:val="00AD4E8F"/>
    <w:rsid w:val="00AE7437"/>
    <w:rsid w:val="00AF3706"/>
    <w:rsid w:val="00AF7C19"/>
    <w:rsid w:val="00B15768"/>
    <w:rsid w:val="00B1647A"/>
    <w:rsid w:val="00BA55ED"/>
    <w:rsid w:val="00BA5EEA"/>
    <w:rsid w:val="00C10D60"/>
    <w:rsid w:val="00C42E25"/>
    <w:rsid w:val="00C507D8"/>
    <w:rsid w:val="00CA72C5"/>
    <w:rsid w:val="00CC5D86"/>
    <w:rsid w:val="00CD4008"/>
    <w:rsid w:val="00D06A89"/>
    <w:rsid w:val="00D15E43"/>
    <w:rsid w:val="00D5596E"/>
    <w:rsid w:val="00D65608"/>
    <w:rsid w:val="00DE14AA"/>
    <w:rsid w:val="00DE57B9"/>
    <w:rsid w:val="00E03AC6"/>
    <w:rsid w:val="00E637B1"/>
    <w:rsid w:val="00E7617A"/>
    <w:rsid w:val="00E95277"/>
    <w:rsid w:val="00F0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402"/>
  <w15:chartTrackingRefBased/>
  <w15:docId w15:val="{416E5C9A-848A-4F0A-8660-DB8EC951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C6"/>
    <w:rPr>
      <w:rFonts w:ascii="Segoe UI" w:hAnsi="Segoe UI" w:cs="Segoe UI"/>
      <w:sz w:val="18"/>
      <w:szCs w:val="18"/>
    </w:rPr>
  </w:style>
  <w:style w:type="paragraph" w:styleId="ListParagraph">
    <w:name w:val="List Paragraph"/>
    <w:basedOn w:val="Normal"/>
    <w:uiPriority w:val="1"/>
    <w:qFormat/>
    <w:rsid w:val="0045020E"/>
    <w:pPr>
      <w:ind w:left="720"/>
      <w:contextualSpacing/>
    </w:pPr>
  </w:style>
  <w:style w:type="paragraph" w:styleId="FootnoteText">
    <w:name w:val="footnote text"/>
    <w:basedOn w:val="Normal"/>
    <w:link w:val="FootnoteTextChar"/>
    <w:uiPriority w:val="99"/>
    <w:semiHidden/>
    <w:unhideWhenUsed/>
    <w:rsid w:val="007E0E72"/>
  </w:style>
  <w:style w:type="character" w:customStyle="1" w:styleId="FootnoteTextChar">
    <w:name w:val="Footnote Text Char"/>
    <w:basedOn w:val="DefaultParagraphFont"/>
    <w:link w:val="FootnoteText"/>
    <w:uiPriority w:val="99"/>
    <w:semiHidden/>
    <w:rsid w:val="007E0E72"/>
  </w:style>
  <w:style w:type="character" w:styleId="FootnoteReference">
    <w:name w:val="footnote reference"/>
    <w:basedOn w:val="DefaultParagraphFont"/>
    <w:uiPriority w:val="99"/>
    <w:semiHidden/>
    <w:unhideWhenUsed/>
    <w:rsid w:val="007E0E72"/>
    <w:rPr>
      <w:vertAlign w:val="superscript"/>
    </w:rPr>
  </w:style>
  <w:style w:type="paragraph" w:styleId="EndnoteText">
    <w:name w:val="endnote text"/>
    <w:basedOn w:val="Normal"/>
    <w:link w:val="EndnoteTextChar"/>
    <w:uiPriority w:val="99"/>
    <w:unhideWhenUsed/>
    <w:rsid w:val="007E0E72"/>
  </w:style>
  <w:style w:type="character" w:customStyle="1" w:styleId="EndnoteTextChar">
    <w:name w:val="Endnote Text Char"/>
    <w:basedOn w:val="DefaultParagraphFont"/>
    <w:link w:val="EndnoteText"/>
    <w:uiPriority w:val="99"/>
    <w:rsid w:val="007E0E72"/>
  </w:style>
  <w:style w:type="character" w:styleId="EndnoteReference">
    <w:name w:val="endnote reference"/>
    <w:basedOn w:val="DefaultParagraphFont"/>
    <w:uiPriority w:val="99"/>
    <w:semiHidden/>
    <w:unhideWhenUsed/>
    <w:rsid w:val="007E0E72"/>
    <w:rPr>
      <w:vertAlign w:val="superscript"/>
    </w:rPr>
  </w:style>
  <w:style w:type="paragraph" w:styleId="Header">
    <w:name w:val="header"/>
    <w:basedOn w:val="Normal"/>
    <w:link w:val="HeaderChar"/>
    <w:uiPriority w:val="99"/>
    <w:unhideWhenUsed/>
    <w:rsid w:val="006F2C25"/>
    <w:pPr>
      <w:tabs>
        <w:tab w:val="center" w:pos="4680"/>
        <w:tab w:val="right" w:pos="9360"/>
      </w:tabs>
    </w:pPr>
  </w:style>
  <w:style w:type="character" w:customStyle="1" w:styleId="HeaderChar">
    <w:name w:val="Header Char"/>
    <w:basedOn w:val="DefaultParagraphFont"/>
    <w:link w:val="Header"/>
    <w:uiPriority w:val="99"/>
    <w:rsid w:val="006F2C25"/>
  </w:style>
  <w:style w:type="paragraph" w:styleId="Footer">
    <w:name w:val="footer"/>
    <w:basedOn w:val="Normal"/>
    <w:link w:val="FooterChar"/>
    <w:uiPriority w:val="99"/>
    <w:unhideWhenUsed/>
    <w:rsid w:val="006F2C25"/>
    <w:pPr>
      <w:tabs>
        <w:tab w:val="center" w:pos="4680"/>
        <w:tab w:val="right" w:pos="9360"/>
      </w:tabs>
    </w:pPr>
  </w:style>
  <w:style w:type="character" w:customStyle="1" w:styleId="FooterChar">
    <w:name w:val="Footer Char"/>
    <w:basedOn w:val="DefaultParagraphFont"/>
    <w:link w:val="Footer"/>
    <w:uiPriority w:val="99"/>
    <w:rsid w:val="006F2C25"/>
  </w:style>
  <w:style w:type="character" w:styleId="CommentReference">
    <w:name w:val="annotation reference"/>
    <w:basedOn w:val="DefaultParagraphFont"/>
    <w:uiPriority w:val="99"/>
    <w:semiHidden/>
    <w:unhideWhenUsed/>
    <w:rsid w:val="005C0511"/>
    <w:rPr>
      <w:sz w:val="16"/>
      <w:szCs w:val="16"/>
    </w:rPr>
  </w:style>
  <w:style w:type="paragraph" w:styleId="CommentText">
    <w:name w:val="annotation text"/>
    <w:basedOn w:val="Normal"/>
    <w:link w:val="CommentTextChar"/>
    <w:uiPriority w:val="99"/>
    <w:unhideWhenUsed/>
    <w:rsid w:val="005C0511"/>
  </w:style>
  <w:style w:type="character" w:customStyle="1" w:styleId="CommentTextChar">
    <w:name w:val="Comment Text Char"/>
    <w:basedOn w:val="DefaultParagraphFont"/>
    <w:link w:val="CommentText"/>
    <w:uiPriority w:val="99"/>
    <w:rsid w:val="005C0511"/>
  </w:style>
  <w:style w:type="paragraph" w:styleId="CommentSubject">
    <w:name w:val="annotation subject"/>
    <w:basedOn w:val="CommentText"/>
    <w:next w:val="CommentText"/>
    <w:link w:val="CommentSubjectChar"/>
    <w:uiPriority w:val="99"/>
    <w:semiHidden/>
    <w:unhideWhenUsed/>
    <w:rsid w:val="005C0511"/>
    <w:rPr>
      <w:b/>
      <w:bCs/>
    </w:rPr>
  </w:style>
  <w:style w:type="character" w:customStyle="1" w:styleId="CommentSubjectChar">
    <w:name w:val="Comment Subject Char"/>
    <w:basedOn w:val="CommentTextChar"/>
    <w:link w:val="CommentSubject"/>
    <w:uiPriority w:val="99"/>
    <w:semiHidden/>
    <w:rsid w:val="005C0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D657-2E9B-4B91-83C2-14AF3A7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Archer</dc:creator>
  <cp:keywords/>
  <dc:description/>
  <cp:lastModifiedBy>Daniela Cimo</cp:lastModifiedBy>
  <cp:revision>4</cp:revision>
  <cp:lastPrinted>2025-02-26T21:30:00Z</cp:lastPrinted>
  <dcterms:created xsi:type="dcterms:W3CDTF">2025-03-21T18:50:00Z</dcterms:created>
  <dcterms:modified xsi:type="dcterms:W3CDTF">2025-03-21T18:59:00Z</dcterms:modified>
</cp:coreProperties>
</file>